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6" w:rsidRPr="00B652DA" w:rsidRDefault="00332F36" w:rsidP="00332F36">
      <w:pPr>
        <w:pStyle w:val="ListParagraph"/>
        <w:ind w:left="0"/>
        <w:rPr>
          <w:b/>
        </w:rPr>
      </w:pPr>
      <w:r w:rsidRPr="00B652DA">
        <w:rPr>
          <w:b/>
        </w:rPr>
        <w:t xml:space="preserve">Appendix Two: The </w:t>
      </w:r>
      <w:proofErr w:type="spellStart"/>
      <w:r w:rsidRPr="00B652DA">
        <w:rPr>
          <w:b/>
        </w:rPr>
        <w:t>eConsult</w:t>
      </w:r>
      <w:proofErr w:type="spellEnd"/>
      <w:r w:rsidRPr="00B652DA">
        <w:rPr>
          <w:b/>
        </w:rPr>
        <w:t xml:space="preserve"> consultation survey and results as at 31</w:t>
      </w:r>
      <w:bookmarkStart w:id="0" w:name="_GoBack"/>
      <w:bookmarkEnd w:id="0"/>
      <w:r w:rsidRPr="00B652DA">
        <w:rPr>
          <w:b/>
        </w:rPr>
        <w:t xml:space="preserve"> March 2015</w:t>
      </w:r>
    </w:p>
    <w:p w:rsidR="00332F36" w:rsidRPr="00B652DA" w:rsidRDefault="00332F36" w:rsidP="00332F36">
      <w:pPr>
        <w:ind w:left="284"/>
      </w:pPr>
    </w:p>
    <w:p w:rsidR="00332F36" w:rsidRPr="00B652DA" w:rsidRDefault="00332F36" w:rsidP="00332F36">
      <w:pPr>
        <w:ind w:left="284"/>
      </w:pPr>
      <w:r w:rsidRPr="00B652DA">
        <w:t>The table shows whether responses were for (Yes) or against (No) the inclusion of each prohibition in the Order.</w:t>
      </w:r>
    </w:p>
    <w:p w:rsidR="00332F36" w:rsidRPr="00B652DA" w:rsidRDefault="00332F36" w:rsidP="00332F36">
      <w:pPr>
        <w:pStyle w:val="ListParagraph"/>
        <w:ind w:left="426" w:hanging="426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017"/>
        <w:gridCol w:w="2652"/>
        <w:gridCol w:w="2652"/>
        <w:gridCol w:w="1387"/>
      </w:tblGrid>
      <w:tr w:rsidR="00332F36" w:rsidRPr="00B652DA" w:rsidTr="0092266E">
        <w:trPr>
          <w:trHeight w:val="253"/>
          <w:tblHeader/>
        </w:trPr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Behaviour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Responses presented to the Member Reference Group on 26/03/2015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Responses received by the end of the consultation period, 31/03/2015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8" w:hanging="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Increase in responses</w:t>
            </w:r>
          </w:p>
        </w:tc>
      </w:tr>
      <w:tr w:rsidR="00332F36" w:rsidRPr="00B652DA" w:rsidTr="0092266E">
        <w:trPr>
          <w:trHeight w:val="506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Persistent Begging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52%(154)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28%(84)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34%(187)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54%(294)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332F36" w:rsidRPr="00B652DA" w:rsidTr="0092266E">
        <w:trPr>
          <w:trHeight w:val="490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Sleeping in toilets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51%(150)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23%(68)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33%(180)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48%(264)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332F36" w:rsidRPr="00B652DA" w:rsidTr="0092266E">
        <w:trPr>
          <w:trHeight w:val="506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Urinating / Defecating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75%(223)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13%(39)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58%(317)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29%(161)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332F36" w:rsidRPr="00B652DA" w:rsidTr="0092266E">
        <w:trPr>
          <w:trHeight w:val="506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Cycling prohibitions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56%(165)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30%(90)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40%(221)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44%(238)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332F36" w:rsidRPr="00B652DA" w:rsidTr="0092266E">
        <w:trPr>
          <w:trHeight w:val="490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Sleeping on the streets when accommodated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46%(136)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36%(107)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28%(152)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60%(330)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332F36" w:rsidRPr="00B652DA" w:rsidTr="0092266E">
        <w:trPr>
          <w:trHeight w:val="269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Busking / Street entertainment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49%(145)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35%(103)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32%(176)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53%(289)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332F36" w:rsidRPr="00B652DA" w:rsidTr="0092266E">
        <w:trPr>
          <w:trHeight w:val="136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Peddling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55%(160)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19%(56)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37%(201)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34%(185)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41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332F36" w:rsidRPr="00B652DA" w:rsidTr="0092266E">
        <w:trPr>
          <w:trHeight w:val="136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Street Drinking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73%(218)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16%(47)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52%(285)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36%(197)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67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32F36" w:rsidRPr="00B652DA" w:rsidTr="0092266E">
        <w:trPr>
          <w:trHeight w:val="136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Graffiti / Street art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56%(167)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31%(92)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38%(210)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49%(268)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43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332F36" w:rsidRPr="00B652DA" w:rsidTr="0092266E">
        <w:trPr>
          <w:trHeight w:val="136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Pigeon feeding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53%(159)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28%(84)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43%(232)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38%(212)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73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332F36" w:rsidRPr="00B652DA" w:rsidTr="0092266E">
        <w:trPr>
          <w:trHeight w:val="136"/>
        </w:trPr>
        <w:tc>
          <w:tcPr>
            <w:tcW w:w="0" w:type="auto"/>
          </w:tcPr>
          <w:p w:rsidR="00332F36" w:rsidRPr="00B652DA" w:rsidRDefault="00332F36" w:rsidP="0092266E">
            <w:pPr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Dog Control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70%(203)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15%(45)</w:t>
            </w:r>
          </w:p>
        </w:tc>
        <w:tc>
          <w:tcPr>
            <w:tcW w:w="2652" w:type="dxa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Yes 55%(292)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No 28%(150)</w:t>
            </w:r>
          </w:p>
        </w:tc>
        <w:tc>
          <w:tcPr>
            <w:tcW w:w="0" w:type="auto"/>
          </w:tcPr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332F36" w:rsidRPr="00B652DA" w:rsidRDefault="00332F36" w:rsidP="0092266E">
            <w:pPr>
              <w:ind w:left="426" w:hanging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2D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</w:tbl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36"/>
    <w:rsid w:val="000B4310"/>
    <w:rsid w:val="00332F36"/>
    <w:rsid w:val="004000D7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36"/>
    <w:pPr>
      <w:ind w:left="720"/>
      <w:contextualSpacing/>
    </w:pPr>
  </w:style>
  <w:style w:type="table" w:styleId="TableGrid">
    <w:name w:val="Table Grid"/>
    <w:basedOn w:val="TableNormal"/>
    <w:uiPriority w:val="59"/>
    <w:rsid w:val="00332F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36"/>
    <w:pPr>
      <w:ind w:left="720"/>
      <w:contextualSpacing/>
    </w:pPr>
  </w:style>
  <w:style w:type="table" w:styleId="TableGrid">
    <w:name w:val="Table Grid"/>
    <w:basedOn w:val="TableNormal"/>
    <w:uiPriority w:val="59"/>
    <w:rsid w:val="00332F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1819-BC9D-4A75-8DDD-A002509D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2D59D2CB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1</cp:revision>
  <dcterms:created xsi:type="dcterms:W3CDTF">2015-09-22T08:34:00Z</dcterms:created>
  <dcterms:modified xsi:type="dcterms:W3CDTF">2015-09-22T08:35:00Z</dcterms:modified>
</cp:coreProperties>
</file>